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NOV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1-12317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76-0475815</w:t>
      </w:r>
    </w:p>
    <w:p>
      <w:pPr>
        <w:spacing w:after="0" w:line="31" w:lineRule="exact"/>
        <w:rPr>
          <w:sz w:val="24"/>
          <w:szCs w:val="24"/>
          <w:color w:val="auto"/>
        </w:rPr>
      </w:pPr>
    </w:p>
    <w:p>
      <w:pPr>
        <w:sectPr>
          <w:pgSz w:w="11900" w:h="16838" w:orient="portrait"/>
          <w:cols w:equalWidth="0" w:num="3">
            <w:col w:w="4604" w:space="720"/>
            <w:col w:w="27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7909 Parkwood Circle Drive</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Houston, Texas 77036</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(713) 346-7500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263525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NOV</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0" w:right="9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February 2022, the Compensation Committee (the “Committee”) of NOV Inc.’s (the “Company”) Board of Directors will consider approval of the 2022 Incentive Compensation Plan (the “2022 ICP”) which will govern the terms of annual cash incentive awards granted to eligible employees of the Company. Each year, the Committee establishes the target annual incentive opportunity for each named executive officer as a specified percentage of his or her base salary. The purposes of the 2022 ICP are to maintain a competitive level of total cash compensation and to align the interests of the Company’s executives and other employees with those of the Company’s shareholders and with the strategic objectives of the Company.</w:t>
      </w:r>
    </w:p>
    <w:p>
      <w:pPr>
        <w:spacing w:after="0" w:line="1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connection with the restructuring of the 2022 ICP, the Company’s named executive officers have recommended the following changes to their target annual incentive opportunity for 2022, which the Committee agreed to adopt for the 2022 ICP on June 16, 2021:</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480" w:type="dxa"/>
            <w:vAlign w:val="bottom"/>
            <w:vMerge w:val="restart"/>
          </w:tcPr>
          <w:p>
            <w:pPr>
              <w:spacing w:after="0"/>
              <w:rPr>
                <w:sz w:val="14"/>
                <w:szCs w:val="14"/>
                <w:color w:val="auto"/>
              </w:rPr>
            </w:pPr>
          </w:p>
        </w:tc>
        <w:tc>
          <w:tcPr>
            <w:tcW w:w="45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Annual Target Bonus Opportunity (As Percent of Salary)</w:t>
            </w:r>
          </w:p>
        </w:tc>
        <w:tc>
          <w:tcPr>
            <w:tcW w:w="0" w:type="dxa"/>
            <w:vAlign w:val="bottom"/>
          </w:tcPr>
          <w:p>
            <w:pPr>
              <w:spacing w:after="0"/>
              <w:rPr>
                <w:sz w:val="1"/>
                <w:szCs w:val="1"/>
                <w:color w:val="auto"/>
              </w:rPr>
            </w:pPr>
          </w:p>
        </w:tc>
      </w:tr>
      <w:tr>
        <w:trPr>
          <w:trHeight w:val="133"/>
        </w:trPr>
        <w:tc>
          <w:tcPr>
            <w:tcW w:w="360" w:type="dxa"/>
            <w:vAlign w:val="bottom"/>
            <w:tcBorders>
              <w:bottom w:val="single" w:sz="8" w:color="auto"/>
            </w:tcBorders>
            <w:vMerge w:val="continue"/>
          </w:tcPr>
          <w:p>
            <w:pPr>
              <w:spacing w:after="0"/>
              <w:rPr>
                <w:sz w:val="11"/>
                <w:szCs w:val="11"/>
                <w:color w:val="auto"/>
              </w:rPr>
            </w:pPr>
          </w:p>
        </w:tc>
        <w:tc>
          <w:tcPr>
            <w:tcW w:w="3480" w:type="dxa"/>
            <w:vAlign w:val="bottom"/>
            <w:vMerge w:val="continue"/>
          </w:tcPr>
          <w:p>
            <w:pPr>
              <w:spacing w:after="0"/>
              <w:rPr>
                <w:sz w:val="11"/>
                <w:szCs w:val="11"/>
                <w:color w:val="auto"/>
              </w:rPr>
            </w:pPr>
          </w:p>
        </w:tc>
        <w:tc>
          <w:tcPr>
            <w:tcW w:w="1240" w:type="dxa"/>
            <w:vAlign w:val="bottom"/>
            <w:tcBorders>
              <w:top w:val="single" w:sz="8" w:color="auto"/>
            </w:tcBorders>
          </w:tcPr>
          <w:p>
            <w:pPr>
              <w:jc w:val="right"/>
              <w:ind w:right="395"/>
              <w:spacing w:after="0" w:line="129" w:lineRule="exact"/>
              <w:rPr>
                <w:sz w:val="20"/>
                <w:szCs w:val="20"/>
                <w:color w:val="auto"/>
              </w:rPr>
            </w:pPr>
            <w:r>
              <w:rPr>
                <w:rFonts w:ascii="Arial" w:cs="Arial" w:eastAsia="Arial" w:hAnsi="Arial"/>
                <w:sz w:val="14"/>
                <w:szCs w:val="14"/>
                <w:b w:val="1"/>
                <w:bCs w:val="1"/>
                <w:color w:val="auto"/>
              </w:rPr>
              <w:t>2021</w:t>
            </w:r>
          </w:p>
        </w:tc>
        <w:tc>
          <w:tcPr>
            <w:tcW w:w="18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413"/>
              <w:spacing w:after="0" w:line="129"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Clay C. Williams</w:t>
            </w:r>
          </w:p>
        </w:tc>
        <w:tc>
          <w:tcPr>
            <w:tcW w:w="1240" w:type="dxa"/>
            <w:vAlign w:val="bottom"/>
            <w:shd w:val="clear" w:color="auto" w:fill="000000"/>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40" w:type="dxa"/>
            <w:vAlign w:val="bottom"/>
            <w:gridSpan w:val="2"/>
            <w:vMerge w:val="continue"/>
            <w:shd w:val="clear" w:color="auto" w:fill="CCEEFF"/>
          </w:tcPr>
          <w:p>
            <w:pPr>
              <w:spacing w:after="0"/>
              <w:rPr>
                <w:sz w:val="17"/>
                <w:szCs w:val="17"/>
                <w:color w:val="auto"/>
              </w:rPr>
            </w:pPr>
          </w:p>
        </w:tc>
        <w:tc>
          <w:tcPr>
            <w:tcW w:w="3040" w:type="dxa"/>
            <w:vAlign w:val="bottom"/>
            <w:gridSpan w:val="2"/>
            <w:shd w:val="clear" w:color="auto" w:fill="CCEEFF"/>
          </w:tcPr>
          <w:p>
            <w:pPr>
              <w:jc w:val="right"/>
              <w:ind w:right="1640"/>
              <w:spacing w:after="0" w:line="203" w:lineRule="exact"/>
              <w:rPr>
                <w:sz w:val="20"/>
                <w:szCs w:val="20"/>
                <w:color w:val="auto"/>
              </w:rPr>
            </w:pPr>
            <w:r>
              <w:rPr>
                <w:rFonts w:ascii="Arial" w:cs="Arial" w:eastAsia="Arial" w:hAnsi="Arial"/>
                <w:sz w:val="18"/>
                <w:szCs w:val="18"/>
                <w:color w:val="auto"/>
              </w:rPr>
              <w:t>140%</w:t>
            </w:r>
          </w:p>
        </w:tc>
        <w:tc>
          <w:tcPr>
            <w:tcW w:w="14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Jose A. Bayardo</w:t>
            </w:r>
          </w:p>
        </w:tc>
        <w:tc>
          <w:tcPr>
            <w:tcW w:w="3040" w:type="dxa"/>
            <w:vAlign w:val="bottom"/>
            <w:gridSpan w:val="2"/>
          </w:tcPr>
          <w:p>
            <w:pPr>
              <w:jc w:val="right"/>
              <w:ind w:right="1640"/>
              <w:spacing w:after="0"/>
              <w:rPr>
                <w:sz w:val="20"/>
                <w:szCs w:val="20"/>
                <w:color w:val="auto"/>
              </w:rPr>
            </w:pPr>
            <w:r>
              <w:rPr>
                <w:rFonts w:ascii="Arial" w:cs="Arial" w:eastAsia="Arial" w:hAnsi="Arial"/>
                <w:sz w:val="18"/>
                <w:szCs w:val="18"/>
                <w:color w:val="auto"/>
              </w:rPr>
              <w:t>95%</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W. Rovig</w:t>
            </w:r>
          </w:p>
        </w:tc>
        <w:tc>
          <w:tcPr>
            <w:tcW w:w="3040" w:type="dxa"/>
            <w:vAlign w:val="bottom"/>
            <w:gridSpan w:val="2"/>
            <w:shd w:val="clear" w:color="auto" w:fill="CCEEFF"/>
          </w:tcPr>
          <w:p>
            <w:pPr>
              <w:jc w:val="right"/>
              <w:ind w:right="1640"/>
              <w:spacing w:after="0"/>
              <w:rPr>
                <w:sz w:val="20"/>
                <w:szCs w:val="20"/>
                <w:color w:val="auto"/>
              </w:rPr>
            </w:pPr>
            <w:r>
              <w:rPr>
                <w:rFonts w:ascii="Arial" w:cs="Arial" w:eastAsia="Arial" w:hAnsi="Arial"/>
                <w:sz w:val="18"/>
                <w:szCs w:val="18"/>
                <w:color w:val="auto"/>
              </w:rPr>
              <w:t>95%</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Craig L. Weinstock</w:t>
            </w:r>
          </w:p>
        </w:tc>
        <w:tc>
          <w:tcPr>
            <w:tcW w:w="3040" w:type="dxa"/>
            <w:vAlign w:val="bottom"/>
            <w:gridSpan w:val="2"/>
          </w:tcPr>
          <w:p>
            <w:pPr>
              <w:jc w:val="right"/>
              <w:ind w:right="1640"/>
              <w:spacing w:after="0"/>
              <w:rPr>
                <w:sz w:val="20"/>
                <w:szCs w:val="20"/>
                <w:color w:val="auto"/>
              </w:rPr>
            </w:pPr>
            <w:r>
              <w:rPr>
                <w:rFonts w:ascii="Arial" w:cs="Arial" w:eastAsia="Arial" w:hAnsi="Arial"/>
                <w:sz w:val="18"/>
                <w:szCs w:val="18"/>
                <w:color w:val="auto"/>
              </w:rPr>
              <w:t>95%</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K. Duff</w:t>
            </w:r>
          </w:p>
        </w:tc>
        <w:tc>
          <w:tcPr>
            <w:tcW w:w="3040" w:type="dxa"/>
            <w:vAlign w:val="bottom"/>
            <w:gridSpan w:val="2"/>
            <w:shd w:val="clear" w:color="auto" w:fill="CCEEFF"/>
          </w:tcPr>
          <w:p>
            <w:pPr>
              <w:jc w:val="right"/>
              <w:ind w:right="1640"/>
              <w:spacing w:after="0"/>
              <w:rPr>
                <w:sz w:val="20"/>
                <w:szCs w:val="20"/>
                <w:color w:val="auto"/>
              </w:rPr>
            </w:pPr>
            <w:r>
              <w:rPr>
                <w:rFonts w:ascii="Arial" w:cs="Arial" w:eastAsia="Arial" w:hAnsi="Arial"/>
                <w:sz w:val="18"/>
                <w:szCs w:val="18"/>
                <w:color w:val="auto"/>
              </w:rPr>
              <w:t>90%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other changes have been made to the compensation arrangements of the Company’s named executive officers.</w:t>
      </w:r>
    </w:p>
    <w:p>
      <w:pPr>
        <w:sectPr>
          <w:pgSz w:w="11900" w:h="16838" w:orient="portrait"/>
          <w:cols w:equalWidth="0" w:num="1">
            <w:col w:w="10980"/>
          </w:cols>
          <w:pgMar w:left="440" w:top="297" w:right="47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NOV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Brigitte M.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Brigitte M. Hunt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17, 2021</w:t>
      </w:r>
    </w:p>
    <w:sectPr>
      <w:pgSz w:w="11900" w:h="16838" w:orient="portrait"/>
      <w:cols w:equalWidth="0" w:num="1">
        <w:col w:w="10780"/>
      </w:cols>
      <w:pgMar w:left="440" w:top="29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2021-06-17T15:55:45Z</dcterms:created>
  <dcterms:modified xsi:type="dcterms:W3CDTF">2021-06-17T15:55:45Z</dcterms:modified>
</cp:coreProperties>
</file>