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288988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89885" cy="283210"/>
                    </a:xfrm>
                    <a:prstGeom prst="rect">
                      <a:avLst/>
                    </a:prstGeom>
                    <a:noFill/>
                  </pic:spPr>
                </pic:pic>
              </a:graphicData>
            </a:graphic>
          </wp:anchor>
        </w:drawing>
        <w:t>National Oilwell Varco, Inc.</w:t>
      </w:r>
    </w:p>
    <w:p>
      <w:pPr>
        <w:spacing w:after="0" w:line="23" w:lineRule="exact"/>
        <w:rPr>
          <w:sz w:val="24"/>
          <w:szCs w:val="24"/>
          <w:color w:val="auto"/>
        </w:rPr>
      </w:pPr>
    </w:p>
    <w:p>
      <w:pPr>
        <w:ind w:left="8560"/>
        <w:spacing w:after="0"/>
        <w:rPr>
          <w:sz w:val="20"/>
          <w:szCs w:val="20"/>
          <w:color w:val="auto"/>
        </w:rPr>
      </w:pPr>
      <w:r>
        <w:rPr>
          <w:rFonts w:ascii="Arial" w:cs="Arial" w:eastAsia="Arial" w:hAnsi="Arial"/>
          <w:sz w:val="18"/>
          <w:szCs w:val="18"/>
          <w:color w:val="auto"/>
        </w:rPr>
        <w:t>7909 Parkwood Circle Drive</w:t>
      </w:r>
    </w:p>
    <w:p>
      <w:pPr>
        <w:spacing w:after="0" w:line="9" w:lineRule="exact"/>
        <w:rPr>
          <w:sz w:val="24"/>
          <w:szCs w:val="24"/>
          <w:color w:val="auto"/>
        </w:rPr>
      </w:pPr>
    </w:p>
    <w:p>
      <w:pPr>
        <w:ind w:left="8560"/>
        <w:spacing w:after="0"/>
        <w:rPr>
          <w:sz w:val="20"/>
          <w:szCs w:val="20"/>
          <w:color w:val="auto"/>
        </w:rPr>
      </w:pPr>
      <w:r>
        <w:rPr>
          <w:rFonts w:ascii="Arial" w:cs="Arial" w:eastAsia="Arial" w:hAnsi="Arial"/>
          <w:sz w:val="18"/>
          <w:szCs w:val="18"/>
          <w:color w:val="auto"/>
        </w:rPr>
        <w:t>Houston, TX 77036</w:t>
      </w:r>
    </w:p>
    <w:p>
      <w:pPr>
        <w:spacing w:after="0" w:line="9" w:lineRule="exact"/>
        <w:rPr>
          <w:sz w:val="24"/>
          <w:szCs w:val="24"/>
          <w:color w:val="auto"/>
        </w:rPr>
      </w:pPr>
    </w:p>
    <w:p>
      <w:pPr>
        <w:ind w:left="8560"/>
        <w:spacing w:after="0"/>
        <w:rPr>
          <w:sz w:val="20"/>
          <w:szCs w:val="20"/>
          <w:color w:val="auto"/>
        </w:rPr>
      </w:pPr>
      <w:r>
        <w:rPr>
          <w:rFonts w:ascii="Arial" w:cs="Arial" w:eastAsia="Arial" w:hAnsi="Arial"/>
          <w:sz w:val="18"/>
          <w:szCs w:val="18"/>
          <w:color w:val="auto"/>
        </w:rPr>
        <w:t>PHONE 713-346-7500</w:t>
      </w:r>
    </w:p>
    <w:p>
      <w:pPr>
        <w:spacing w:after="0" w:line="31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October 6, 2010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Mr. Douglas Brown</w:t>
      </w:r>
    </w:p>
    <w:p>
      <w:pPr>
        <w:spacing w:after="0" w:line="103" w:lineRule="exact"/>
        <w:rPr>
          <w:sz w:val="24"/>
          <w:szCs w:val="24"/>
          <w:color w:val="auto"/>
        </w:rPr>
      </w:pPr>
    </w:p>
    <w:p>
      <w:pPr>
        <w:ind w:left="220"/>
        <w:spacing w:after="0"/>
        <w:tabs>
          <w:tab w:leader="none" w:pos="660" w:val="left"/>
        </w:tabs>
        <w:rPr>
          <w:sz w:val="20"/>
          <w:szCs w:val="20"/>
          <w:color w:val="auto"/>
        </w:rPr>
      </w:pPr>
      <w:r>
        <w:rPr>
          <w:rFonts w:ascii="Arial" w:cs="Arial" w:eastAsia="Arial" w:hAnsi="Arial"/>
          <w:sz w:val="18"/>
          <w:szCs w:val="18"/>
          <w:color w:val="auto"/>
        </w:rPr>
        <w:t>Re:</w:t>
        <w:tab/>
        <w:t>National Oilwell Varco, Inc. — Second Request for Extension of Response Time to SEC Comment Letter dated September 10, 2010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Gentleman:</w:t>
      </w:r>
    </w:p>
    <w:p>
      <w:pPr>
        <w:spacing w:after="0" w:line="117" w:lineRule="exact"/>
        <w:rPr>
          <w:sz w:val="24"/>
          <w:szCs w:val="24"/>
          <w:color w:val="auto"/>
        </w:rPr>
      </w:pPr>
    </w:p>
    <w:p>
      <w:pPr>
        <w:ind w:firstLine="222"/>
        <w:spacing w:after="0" w:line="257" w:lineRule="auto"/>
        <w:rPr>
          <w:sz w:val="20"/>
          <w:szCs w:val="20"/>
          <w:color w:val="auto"/>
        </w:rPr>
      </w:pPr>
      <w:r>
        <w:rPr>
          <w:rFonts w:ascii="Arial" w:cs="Arial" w:eastAsia="Arial" w:hAnsi="Arial"/>
          <w:sz w:val="18"/>
          <w:szCs w:val="18"/>
          <w:color w:val="auto"/>
        </w:rPr>
        <w:t>We refer you to the letter to National Oilwell Varco, Inc. (the “Company”) dated September 10, 2010 (the “Comment Letter”) containing the comments of the Staff of the Securities and Exchange Commission to the Company’s Form 10-K for the fiscal year ended December 31, 2009 filed on February 26, 2010 (File No. 1-12317). Following up on the conversation of our attorney with you on October 5, 2010, we are writing to confirm that we have requested an extension to respond to the Comment Letter until October 15, 2010, as the Company needs additional time to process information and formulate appropriate responses to the Comment Letter.</w:t>
      </w:r>
    </w:p>
    <w:p>
      <w:pPr>
        <w:spacing w:after="0" w:line="80" w:lineRule="exact"/>
        <w:rPr>
          <w:sz w:val="24"/>
          <w:szCs w:val="24"/>
          <w:color w:val="auto"/>
        </w:rPr>
      </w:pPr>
    </w:p>
    <w:p>
      <w:pPr>
        <w:ind w:left="220"/>
        <w:spacing w:after="0"/>
        <w:rPr>
          <w:sz w:val="20"/>
          <w:szCs w:val="20"/>
          <w:color w:val="auto"/>
        </w:rPr>
      </w:pPr>
      <w:r>
        <w:rPr>
          <w:rFonts w:ascii="Arial" w:cs="Arial" w:eastAsia="Arial" w:hAnsi="Arial"/>
          <w:sz w:val="18"/>
          <w:szCs w:val="18"/>
          <w:color w:val="auto"/>
        </w:rPr>
        <w:t>We appreciate the Staff’s cooperation in this matter.</w:t>
      </w:r>
    </w:p>
    <w:p>
      <w:pPr>
        <w:spacing w:after="0" w:line="117" w:lineRule="exact"/>
        <w:rPr>
          <w:sz w:val="24"/>
          <w:szCs w:val="24"/>
          <w:color w:val="auto"/>
        </w:rPr>
      </w:pPr>
    </w:p>
    <w:p>
      <w:pPr>
        <w:ind w:right="560" w:firstLine="225"/>
        <w:spacing w:after="0" w:line="277" w:lineRule="auto"/>
        <w:rPr>
          <w:sz w:val="20"/>
          <w:szCs w:val="20"/>
          <w:color w:val="auto"/>
        </w:rPr>
      </w:pPr>
      <w:r>
        <w:rPr>
          <w:rFonts w:ascii="Arial" w:cs="Arial" w:eastAsia="Arial" w:hAnsi="Arial"/>
          <w:sz w:val="18"/>
          <w:szCs w:val="18"/>
          <w:color w:val="auto"/>
        </w:rPr>
        <w:t>Please telephone me at (713) 346-7550, or our attorney, Eric Johnson of Locke Lord Bissell &amp; Liddell LLP at (713) 226-1249, with any additional questions or comments you may have.</w:t>
      </w:r>
    </w:p>
    <w:p>
      <w:pPr>
        <w:spacing w:after="0" w:line="170" w:lineRule="exact"/>
        <w:rPr>
          <w:sz w:val="24"/>
          <w:szCs w:val="24"/>
          <w:color w:val="auto"/>
        </w:rPr>
      </w:pPr>
    </w:p>
    <w:p>
      <w:pPr>
        <w:ind w:left="550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5500"/>
        <w:spacing w:after="0"/>
        <w:rPr>
          <w:sz w:val="20"/>
          <w:szCs w:val="20"/>
          <w:color w:val="auto"/>
        </w:rPr>
      </w:pPr>
      <w:r>
        <w:rPr>
          <w:rFonts w:ascii="Arial" w:cs="Arial" w:eastAsia="Arial" w:hAnsi="Arial"/>
          <w:sz w:val="18"/>
          <w:szCs w:val="18"/>
          <w:color w:val="auto"/>
        </w:rPr>
        <w:t>/s/ Dwight W. Rettig</w:t>
      </w:r>
    </w:p>
    <w:p>
      <w:pPr>
        <w:spacing w:after="0" w:line="225" w:lineRule="exact"/>
        <w:rPr>
          <w:sz w:val="24"/>
          <w:szCs w:val="24"/>
          <w:color w:val="auto"/>
        </w:rPr>
      </w:pPr>
    </w:p>
    <w:p>
      <w:pPr>
        <w:ind w:left="5500"/>
        <w:spacing w:after="0"/>
        <w:rPr>
          <w:sz w:val="20"/>
          <w:szCs w:val="20"/>
          <w:color w:val="auto"/>
        </w:rPr>
      </w:pPr>
      <w:r>
        <w:rPr>
          <w:rFonts w:ascii="Arial" w:cs="Arial" w:eastAsia="Arial" w:hAnsi="Arial"/>
          <w:sz w:val="18"/>
          <w:szCs w:val="18"/>
          <w:color w:val="auto"/>
        </w:rPr>
        <w:t>Dwight W. Rettig</w:t>
      </w:r>
    </w:p>
    <w:p>
      <w:pPr>
        <w:spacing w:after="0" w:line="23" w:lineRule="exact"/>
        <w:rPr>
          <w:sz w:val="24"/>
          <w:szCs w:val="24"/>
          <w:color w:val="auto"/>
        </w:rPr>
      </w:pPr>
    </w:p>
    <w:p>
      <w:pPr>
        <w:ind w:left="5500"/>
        <w:spacing w:after="0"/>
        <w:rPr>
          <w:sz w:val="20"/>
          <w:szCs w:val="20"/>
          <w:color w:val="auto"/>
        </w:rPr>
      </w:pPr>
      <w:r>
        <w:rPr>
          <w:rFonts w:ascii="Arial" w:cs="Arial" w:eastAsia="Arial" w:hAnsi="Arial"/>
          <w:sz w:val="18"/>
          <w:szCs w:val="18"/>
          <w:color w:val="auto"/>
        </w:rPr>
        <w:t>Senior Vice President, General Counsel</w:t>
      </w:r>
    </w:p>
    <w:p>
      <w:pPr>
        <w:spacing w:after="0" w:line="9" w:lineRule="exact"/>
        <w:rPr>
          <w:sz w:val="24"/>
          <w:szCs w:val="24"/>
          <w:color w:val="auto"/>
        </w:rPr>
      </w:pPr>
    </w:p>
    <w:p>
      <w:pPr>
        <w:ind w:left="5500"/>
        <w:spacing w:after="0"/>
        <w:rPr>
          <w:sz w:val="20"/>
          <w:szCs w:val="20"/>
          <w:color w:val="auto"/>
        </w:rPr>
      </w:pPr>
      <w:r>
        <w:rPr>
          <w:rFonts w:ascii="Arial" w:cs="Arial" w:eastAsia="Arial" w:hAnsi="Arial"/>
          <w:sz w:val="18"/>
          <w:szCs w:val="18"/>
          <w:color w:val="auto"/>
        </w:rPr>
        <w:t>and Secretary</w:t>
      </w:r>
    </w:p>
    <w:sectPr>
      <w:pgSz w:w="11900" w:h="16838" w:orient="portrait"/>
      <w:cols w:equalWidth="0" w:num="1">
        <w:col w:w="11340"/>
      </w:cols>
      <w:pgMar w:left="240" w:top="100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2019-12-10T14:44:32Z</dcterms:created>
  <dcterms:modified xsi:type="dcterms:W3CDTF">2019-12-10T14:44:32Z</dcterms:modified>
</cp:coreProperties>
</file>